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8D5BB0"/>
    <w:p w14:paraId="0FB1A31B"/>
    <w:p w14:paraId="0005E2A0"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 xml:space="preserve">LOGO </w:t>
      </w:r>
    </w:p>
    <w:p w14:paraId="504255A7">
      <w:pPr>
        <w:numPr>
          <w:numId w:val="0"/>
        </w:numPr>
        <w:rPr>
          <w:rFonts w:hint="eastAsia"/>
          <w:lang w:val="en-US" w:eastAsia="zh-CN"/>
        </w:rPr>
      </w:pPr>
    </w:p>
    <w:p w14:paraId="32C1F887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27830" cy="3429000"/>
            <wp:effectExtent l="0" t="0" r="8890" b="0"/>
            <wp:docPr id="1" name="图片 1" descr="9cc03d738a7f2a2e5dfe5982d5ed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cc03d738a7f2a2e5dfe5982d5ed7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CD8C4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产教融合</w:t>
      </w:r>
    </w:p>
    <w:p w14:paraId="6B3942B6">
      <w:pPr>
        <w:numPr>
          <w:numId w:val="0"/>
        </w:numPr>
        <w:ind w:leftChars="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南京五邦电子科技合作协同育人项目申报指南</w:t>
      </w:r>
    </w:p>
    <w:p w14:paraId="6291A6A9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一、项目背景</w:t>
      </w:r>
    </w:p>
    <w:p w14:paraId="5473E0B1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为了积极响应国家关于深化产教融合、协同育人的号召，推动教育教学改革，提高人才培养质量，南京五邦电子科技有限公司（以下简称“南京五邦电子科技”）特设立协同育人项目，旨在与高校携手合作，共同探索创新人才培养模式，促进教育链、人才链与产业链、创新链的有机衔接。</w:t>
      </w:r>
    </w:p>
    <w:p w14:paraId="5FE317A3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二、项目内容</w:t>
      </w:r>
    </w:p>
    <w:p w14:paraId="1C75B284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新工科建设项目</w:t>
      </w:r>
    </w:p>
    <w:p w14:paraId="64820EF6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• 面向新一代信息技术、智能制造、集成电路等领域，开展新兴工科专业的课程体系建设、实践教学平台建设等。</w:t>
      </w:r>
    </w:p>
    <w:p w14:paraId="56F0F4D2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• 探索跨学科融合的人才培养模式，培养具备创新能力和实践能力的复合型工科人才。</w:t>
      </w:r>
    </w:p>
    <w:p w14:paraId="77F7BE57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教学内容和课程体系改革项目</w:t>
      </w:r>
    </w:p>
    <w:p w14:paraId="7FD31440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• 支持高校开展相关专业的课程改革，将产业最新技术和案例融入教学内容。</w:t>
      </w:r>
    </w:p>
    <w:p w14:paraId="05FB5FEF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• 推动课程体系优化，建设一批优质的在线开放课程、教材和教学资源。</w:t>
      </w:r>
    </w:p>
    <w:p w14:paraId="6C053377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师资培训项目</w:t>
      </w:r>
    </w:p>
    <w:p w14:paraId="3FAE67BC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• 组织高校教师参加企业实践、技术培训和学术交流活动，提升教师的工程实践能力和教学水平。</w:t>
      </w:r>
    </w:p>
    <w:p w14:paraId="49FD8FD8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• 建立教师企业挂职锻炼机制，促进产学研深度融合。</w:t>
      </w:r>
    </w:p>
    <w:p w14:paraId="0730B79F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实践条件和实践基地建设项目</w:t>
      </w:r>
    </w:p>
    <w:p w14:paraId="6F886207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• 与高校共建实验室、实训基地等实践教学平台，提供先进的实验设备和技术支持。</w:t>
      </w:r>
    </w:p>
    <w:p w14:paraId="63EFA046">
      <w:pPr>
        <w:numPr>
          <w:numId w:val="0"/>
        </w:numPr>
        <w:ind w:leftChars="0"/>
        <w:rPr>
          <w:rFonts w:hint="default"/>
          <w:lang w:val="en-US" w:eastAsia="zh-CN"/>
        </w:rPr>
      </w:pPr>
    </w:p>
    <w:p w14:paraId="1B408682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• 合作开展实习实训、创新创业教育等活动，提高学生的实践动手能力和创新精神。</w:t>
      </w:r>
    </w:p>
    <w:p w14:paraId="4401C112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三、申报条件</w:t>
      </w:r>
    </w:p>
    <w:p w14:paraId="7AA4393E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申报高校应为全日制本科院校。</w:t>
      </w:r>
    </w:p>
    <w:p w14:paraId="3C8513E1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申报项目应具有明确的建设目标、可行的实施方案和合理的预期成果。</w:t>
      </w:r>
    </w:p>
    <w:p w14:paraId="42634BB5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项目负责人应具有丰富的教学经验和较高的学术水平，团队成员结构合理、分工明确。</w:t>
      </w:r>
    </w:p>
    <w:p w14:paraId="274DC3A0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四、申报流程</w:t>
      </w:r>
    </w:p>
    <w:p w14:paraId="30C90253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意向申报</w:t>
      </w:r>
    </w:p>
    <w:p w14:paraId="54DD6D39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• 有意向的高校请于[具体日期]前填写《南京五邦电子科技合作协同育人项目意向申报表》（见附件 1），发送至指定邮箱：yolandachoi1118@yeah.net</w:t>
      </w:r>
    </w:p>
    <w:p w14:paraId="38FDC997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项目申报</w:t>
      </w:r>
    </w:p>
    <w:p w14:paraId="63162E12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• 南京五邦电子科技将对意向申报进行审核，并于[具体日期]向通过审核的高校发送项目申报通知。</w:t>
      </w:r>
    </w:p>
    <w:p w14:paraId="0269B259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• 收到申报通知的高校请于[具体日期]前填写《南京五邦电子科技合作协同育人项目申报书》（见附件 2），并将申报书电子版和加盖学校公章的扫描版发送至指定邮箱。</w:t>
      </w:r>
    </w:p>
    <w:p w14:paraId="03BF59CC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项目评审</w:t>
      </w:r>
    </w:p>
    <w:p w14:paraId="592FAC6B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• 南京五邦电子科技将组织专家对申报项目进行评审，评审结果将于[具体日期]在公司官网公布。</w:t>
      </w:r>
    </w:p>
    <w:p w14:paraId="68AD8B44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项目立项</w:t>
      </w:r>
    </w:p>
    <w:p w14:paraId="1B3331B5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• 经评审通过的项目，南京五邦电子科技将与高校签订合作协议，正式立项。</w:t>
      </w:r>
    </w:p>
    <w:p w14:paraId="239E60CE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五、项目支持与管理</w:t>
      </w:r>
    </w:p>
    <w:p w14:paraId="464FB40B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项目支持</w:t>
      </w:r>
    </w:p>
    <w:p w14:paraId="5403FAE1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• 南京五邦电子科技将为立项项目提供一定的经费支持和技术指导。</w:t>
      </w:r>
    </w:p>
    <w:p w14:paraId="656B9AF4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• 对于优秀的项目成果，将给予额外的奖励和推广。</w:t>
      </w:r>
    </w:p>
    <w:p w14:paraId="3B558829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项目管理</w:t>
      </w:r>
    </w:p>
    <w:p w14:paraId="1BD0217F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• 立项高校应按照合作协议和项目实施方案认真组织项目实施，确保项目按时完成。</w:t>
      </w:r>
    </w:p>
    <w:p w14:paraId="66D5A8E1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• 南京五邦电子科技将对项目进行跟踪管理和中期检查，对进展缓慢或存在问题的项目提出整改意见。</w:t>
      </w:r>
    </w:p>
    <w:p w14:paraId="18EE930C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• 项目完成后，高校应及时提交项目总结报告和成果材料，南京五邦电子科技将组织验收。</w:t>
      </w:r>
    </w:p>
    <w:p w14:paraId="0DBBB783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六、联系方式</w:t>
      </w:r>
    </w:p>
    <w:p w14:paraId="010421F8">
      <w:pPr>
        <w:numPr>
          <w:numId w:val="0"/>
        </w:numPr>
        <w:ind w:leftChars="0"/>
        <w:rPr>
          <w:rFonts w:hint="default"/>
          <w:color w:val="FF0000"/>
          <w:lang w:val="en-US" w:eastAsia="zh-CN"/>
        </w:rPr>
      </w:pPr>
      <w:bookmarkStart w:id="0" w:name="_GoBack"/>
      <w:r>
        <w:rPr>
          <w:rFonts w:hint="default"/>
          <w:color w:val="FF0000"/>
          <w:lang w:val="en-US" w:eastAsia="zh-CN"/>
        </w:rPr>
        <w:t>联系人：</w:t>
      </w:r>
      <w:r>
        <w:rPr>
          <w:rFonts w:hint="eastAsia"/>
          <w:color w:val="FF0000"/>
          <w:lang w:val="en-US" w:eastAsia="zh-CN"/>
        </w:rPr>
        <w:t>蔡女士</w:t>
      </w:r>
    </w:p>
    <w:bookmarkEnd w:id="0"/>
    <w:p w14:paraId="01A0067C">
      <w:pPr>
        <w:numPr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t>联系电话：</w:t>
      </w:r>
      <w:r>
        <w:rPr>
          <w:rFonts w:hint="eastAsia"/>
          <w:color w:val="FF0000"/>
          <w:lang w:val="en-US" w:eastAsia="zh-CN"/>
        </w:rPr>
        <w:t>13705179277</w:t>
      </w:r>
    </w:p>
    <w:p w14:paraId="040303DF">
      <w:pPr>
        <w:numPr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t>电子邮箱：yolandachoi1118@yeah.net</w:t>
      </w:r>
    </w:p>
    <w:p w14:paraId="3515DC92">
      <w:pPr>
        <w:numPr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t>公司官网：</w:t>
      </w:r>
      <w:r>
        <w:rPr>
          <w:rFonts w:hint="eastAsia"/>
          <w:color w:val="FF0000"/>
          <w:lang w:val="en-US" w:eastAsia="zh-CN"/>
        </w:rPr>
        <w:t>网站建设自行填写</w:t>
      </w:r>
    </w:p>
    <w:p w14:paraId="7031238D">
      <w:pPr>
        <w:numPr>
          <w:numId w:val="0"/>
        </w:numPr>
        <w:ind w:leftChars="0"/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地址：</w:t>
      </w:r>
      <w:r>
        <w:rPr>
          <w:rFonts w:hint="eastAsia"/>
          <w:color w:val="FF0000"/>
          <w:sz w:val="24"/>
        </w:rPr>
        <w:t>南京市秦淮区永智路5号</w:t>
      </w:r>
      <w:r>
        <w:rPr>
          <w:rFonts w:ascii="宋体" w:hAnsi="宋体" w:cs="宋体"/>
          <w:color w:val="FF0000"/>
          <w:sz w:val="24"/>
        </w:rPr>
        <w:t>南京白下高新技术产业园区</w:t>
      </w:r>
      <w:r>
        <w:rPr>
          <w:rFonts w:hint="eastAsia" w:ascii="宋体" w:hAnsi="宋体" w:cs="宋体"/>
          <w:color w:val="FF0000"/>
          <w:sz w:val="24"/>
        </w:rPr>
        <w:t>五</w:t>
      </w:r>
      <w:r>
        <w:rPr>
          <w:rFonts w:ascii="宋体" w:hAnsi="宋体" w:cs="宋体"/>
          <w:color w:val="FF0000"/>
          <w:sz w:val="24"/>
        </w:rPr>
        <w:t>号楼</w:t>
      </w:r>
      <w:r>
        <w:rPr>
          <w:rFonts w:hint="eastAsia"/>
          <w:color w:val="FF0000"/>
          <w:sz w:val="24"/>
        </w:rPr>
        <w:t>（E）栋（101-8</w:t>
      </w:r>
      <w:r>
        <w:rPr>
          <w:color w:val="FF0000"/>
          <w:sz w:val="24"/>
        </w:rPr>
        <w:t>5</w:t>
      </w:r>
      <w:r>
        <w:rPr>
          <w:rFonts w:hint="eastAsia"/>
          <w:color w:val="FF0000"/>
          <w:sz w:val="24"/>
        </w:rPr>
        <w:t>）室</w:t>
      </w:r>
      <w:r>
        <w:rPr>
          <w:rFonts w:hint="eastAsia"/>
          <w:color w:val="FF0000"/>
          <w:sz w:val="24"/>
          <w:lang w:eastAsia="zh-CN"/>
        </w:rPr>
        <w:t>；</w:t>
      </w:r>
    </w:p>
    <w:p w14:paraId="3CA9EB2B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合作客户（LOGO）</w:t>
      </w:r>
    </w:p>
    <w:p w14:paraId="5C0BC4FF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60625" cy="1859915"/>
            <wp:effectExtent l="0" t="0" r="8255" b="1460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71395" cy="2007870"/>
            <wp:effectExtent l="0" t="0" r="14605" b="381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007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F56FC3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5FF286D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6179000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249E0806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4510E580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144191DC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34310" cy="2174875"/>
            <wp:effectExtent l="0" t="0" r="8890" b="444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77440" cy="2292985"/>
            <wp:effectExtent l="0" t="0" r="0" b="825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54B5B7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891540</wp:posOffset>
            </wp:positionV>
            <wp:extent cx="3444240" cy="2186940"/>
            <wp:effectExtent l="0" t="0" r="0" b="7620"/>
            <wp:wrapTopAndBottom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953770</wp:posOffset>
            </wp:positionV>
            <wp:extent cx="2141855" cy="1989455"/>
            <wp:effectExtent l="0" t="0" r="6985" b="6985"/>
            <wp:wrapTopAndBottom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E75E34A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23982B22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36165" cy="2327910"/>
            <wp:effectExtent l="0" t="0" r="10795" b="3810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91460" cy="2100580"/>
            <wp:effectExtent l="0" t="0" r="12700" b="2540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2625A5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服务方向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329"/>
        <w:gridCol w:w="2839"/>
        <w:gridCol w:w="2160"/>
        <w:gridCol w:w="1406"/>
        <w:gridCol w:w="3180"/>
        <w:gridCol w:w="3260"/>
      </w:tblGrid>
      <w:tr w14:paraId="301E5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07" w:type="dxa"/>
          </w:tcPr>
          <w:p w14:paraId="755DF90B">
            <w:pPr>
              <w:numPr>
                <w:numId w:val="0"/>
              </w:num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高端实验室建设</w:t>
            </w:r>
          </w:p>
        </w:tc>
        <w:tc>
          <w:tcPr>
            <w:tcW w:w="3014" w:type="dxa"/>
          </w:tcPr>
          <w:p w14:paraId="3796FF49">
            <w:pPr>
              <w:numPr>
                <w:numId w:val="0"/>
              </w:numP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《打造高端实验室：创新与卓越的基石》</w:t>
            </w:r>
          </w:p>
          <w:p w14:paraId="5FE5697B">
            <w:pPr>
              <w:numPr>
                <w:numId w:val="0"/>
              </w:numPr>
              <w:ind w:firstLine="211" w:firstLineChars="10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在当今科技迅猛发展的时代，高端实验室的建设成为推动科研进步、培养顶尖人才和促进产业创新的关键因素。</w:t>
            </w:r>
          </w:p>
          <w:p w14:paraId="200D0BF9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高端实验室的建设首先需要精心规划的空间布局。宽敞明亮的实验区域、合理的功能分区以及高效的通风和照明系统，不仅能提供舒适的工作环境，还能确保实验流程的顺畅进行。实验台的设计应符合人体工程学，便于操作，提高工作效率。</w:t>
            </w:r>
          </w:p>
          <w:p w14:paraId="7FB2B81F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先进的仪器设备是高端实验室的核心要素。投资购置高精度、高性能的科研仪器，如先进的电子显微镜、高分辨率的光谱分析仪、精密的生物实验设备等，能够满足各种复杂实验的需求，为科研人员提供强大的技术支持，助力他们在前沿领域取得突破性的研究成果。</w:t>
            </w:r>
          </w:p>
          <w:p w14:paraId="37776D11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安全保障体系在高端实验室建设中至关重要。完善的防火、防爆、防毒和防辐射措施，严格的实验操作规程和紧急应急预案，能够有效保障科研人员的生命安全和实验室的正常运转。同时，配备智能化的监控系统和环境监测设备，实时掌握实验室的安全状况。</w:t>
            </w:r>
          </w:p>
          <w:p w14:paraId="46EF8D38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优质的实验材料和试剂供应也是不可或缺的。建立严格的质量控制体系，确保所使用的材料和试剂的纯度和稳定性，为实验结果的准确性和可重复性提供有力保障。</w:t>
            </w:r>
          </w:p>
          <w:p w14:paraId="40A925CF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此外，高端实验室还需要一支高素质的专业技术团队。包括经验丰富的实验技术人员、工程师和管理人员，他们能够熟练操作和维护仪器设备，提供技术支持和解决实验中遇到的各种问题。</w:t>
            </w:r>
          </w:p>
          <w:p w14:paraId="798A77E1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信息管理系统在高端实验室中发挥着重要作用。实现实验数据的自动化采集、存储和分析，方便科研人员随时查阅和共享数据，提高研究效率。同时，建立与国内外其他实验室的交流合作平台，促进知识共享和协同创新。</w:t>
            </w:r>
          </w:p>
          <w:p w14:paraId="151888C4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高端实验室的建设是一个综合性的系统工程，需要充足的资金投入、科学的规划设计、先进的设备配置、严格的安全管理和优秀的人才队伍。只有这样，才能打造出具有国际竞争力的高端实验室，为科学研究和技术创新提供坚实的支撑，推动社会的进步和发展。</w:t>
            </w:r>
          </w:p>
        </w:tc>
        <w:tc>
          <w:tcPr>
            <w:tcW w:w="1490" w:type="dxa"/>
          </w:tcPr>
          <w:p w14:paraId="3EB0BD2A">
            <w:pPr>
              <w:numPr>
                <w:numId w:val="0"/>
              </w:num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图标</w:t>
            </w:r>
          </w:p>
          <w:p w14:paraId="51AA1289">
            <w:pPr>
              <w:numPr>
                <w:numId w:val="0"/>
              </w:num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220470" cy="1089660"/>
                  <wp:effectExtent l="0" t="0" r="13970" b="7620"/>
                  <wp:docPr id="1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</w:tcPr>
          <w:p w14:paraId="3A67712C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一流精品课程建设</w:t>
            </w:r>
          </w:p>
          <w:p w14:paraId="05D93047">
            <w:pPr>
              <w:numPr>
                <w:numId w:val="0"/>
              </w:num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385" w:type="dxa"/>
          </w:tcPr>
          <w:p w14:paraId="753E76CE">
            <w:pPr>
              <w:numPr>
                <w:numId w:val="0"/>
              </w:num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《建设一流精品课程：提升教育质量的关键举措》</w:t>
            </w:r>
          </w:p>
          <w:p w14:paraId="16B51766">
            <w:pPr>
              <w:numPr>
                <w:numId w:val="0"/>
              </w:numPr>
              <w:ind w:firstLine="482" w:firstLineChars="20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在当今教育领域，建设一流精品课程已成为提升教学水平、培养高素质人才的重要任务。</w:t>
            </w:r>
          </w:p>
          <w:p w14:paraId="72FEC80C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一流精品课程建设的核心在于明确的课程目标定位。课程目标应紧密结合社会需求和学科发展前沿，培养学生具备扎实的专业知识、创新思维和实践能力。通过深入的市场调研和行业分析，确保课程内容与实际应用紧密相连，使学生毕业后能够迅速适应工作岗位的要求。</w:t>
            </w:r>
          </w:p>
          <w:p w14:paraId="7FD86D95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优质的教学内容是一流精品课程的基石。教学内容要具备系统性、科学性和前沿性，涵盖学科的核心概念、基本原理和最新研究成果。同时，注重知识的整合与拓展，将不同学科领域的知识相互渗透，培养学生的综合素养。此外，引入真实的案例和项目，让学生在解决实际问题的过程中深化对知识的理解和应用。</w:t>
            </w:r>
          </w:p>
          <w:p w14:paraId="532BEA62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先进的教学方法和手段是打造一流精品课程的关键。充分利用现代信息技术，如线上教学平台、虚拟实验室、多媒体教学资源等，丰富教学形式，激发学生的学习兴趣。采用翻转课堂、项目式学习、小组讨论等互动式教学方法，促进学生的主动参与和自主学习，培养其团队协作和沟通能力。</w:t>
            </w:r>
          </w:p>
          <w:p w14:paraId="67E3C050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优秀的教师团队是一流精品课程建设的保障。教师不仅要具备深厚的学术造诣，还应拥有丰富的教学经验和良好的教学能力。鼓励教师参加教学培训和学术交流活动，不断更新教育理念和教学方法。建立教师教学评价机制，激励教师积极投入课程建设，提高教学质量。</w:t>
            </w:r>
          </w:p>
          <w:p w14:paraId="3579CFA9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完善的课程评价体系对于一流精品课程的持续改进至关重要。通过多元化的评价方式，如学生评价、同行评价、教学成果评估等，及时收集反馈信息，发现课程存在的问题和不足，进行有针对性的改进和优化。</w:t>
            </w:r>
          </w:p>
          <w:p w14:paraId="46F1DD29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此外，一流精品课程建设还需要充足的资源支持。学校和教育机构应加大对课程建设的投入，包括教学设施的改善、教材的编写与更新、教学资源的开发等。同时，加强与企业和社会的合作，获取更多的实践资源和资金支持。</w:t>
            </w:r>
          </w:p>
          <w:p w14:paraId="2A6ABA3B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总之，一流精品课程建设是一个长期而系统的工程，需要学校、教师和学生的共同努力，不断探索创新，持续改进完善，为培养适应时代需求的优秀人才提供高质量的教育资源。</w:t>
            </w:r>
          </w:p>
        </w:tc>
        <w:tc>
          <w:tcPr>
            <w:tcW w:w="3385" w:type="dxa"/>
          </w:tcPr>
          <w:p w14:paraId="74925293">
            <w:pPr>
              <w:numPr>
                <w:numId w:val="0"/>
              </w:numPr>
              <w:ind w:left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图标</w:t>
            </w:r>
          </w:p>
          <w:p w14:paraId="1BD290A8">
            <w:pPr>
              <w:numPr>
                <w:numId w:val="0"/>
              </w:numPr>
              <w:ind w:leftChars="0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028700" cy="983615"/>
                  <wp:effectExtent l="0" t="0" r="7620" b="6985"/>
                  <wp:docPr id="1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D0E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07" w:type="dxa"/>
          </w:tcPr>
          <w:p w14:paraId="4D82FBE4">
            <w:pPr>
              <w:numPr>
                <w:numId w:val="0"/>
              </w:num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 xml:space="preserve">校企联合共建  </w:t>
            </w:r>
          </w:p>
        </w:tc>
        <w:tc>
          <w:tcPr>
            <w:tcW w:w="3014" w:type="dxa"/>
          </w:tcPr>
          <w:p w14:paraId="33A45A6E">
            <w:pPr>
              <w:numPr>
                <w:numId w:val="0"/>
              </w:num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《校企联合共建：共创教育与产业融合新未来》</w:t>
            </w:r>
          </w:p>
          <w:p w14:paraId="2FEDF809">
            <w:pPr>
              <w:numPr>
                <w:numId w:val="0"/>
              </w:numPr>
              <w:ind w:firstLine="241" w:firstLineChars="100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在当今快速发展的社会经济环境中，校企联合共建正逐渐成为推动教育创新和产业升级的重要力量。</w:t>
            </w:r>
          </w:p>
          <w:p w14:paraId="211E2F0F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校企联合共建的核心意义在于实现资源的优势互补。学校拥有丰富的教育资源、深厚的学术积淀和专业的师资队伍，而企业则具备先进的技术、真实的市场需求和实践经验。通过合作，双方能够将各自的优势充分发挥，为培养适应社会需求的高素质人才创造有利条件。</w:t>
            </w:r>
          </w:p>
          <w:p w14:paraId="2BC43674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在人才培养方面，校企联合共建能够提供更加贴合实际的教育模式。企业为学生提供实习实训的机会，让他们在真实的工作环境中锻炼实践能力，了解行业动态和企业运作流程。同时，企业专家可以走进校园，参与课程设计和教学，将实际工作中的案例和经验融入教学内容，使学生所学知识与实际应用紧密结合，提高就业竞争力。</w:t>
            </w:r>
          </w:p>
          <w:p w14:paraId="2EF74BB3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对于学校来说，校企联合共建有助于推动教育教学改革。根据企业的反馈和需求，学校可以及时调整专业设置、课程体系和教学方法，提高教育质量和教学效果。同时，合作还能促进学校科研成果的转化和应用，增强学校的科研实力和社会服务能力。</w:t>
            </w:r>
          </w:p>
          <w:p w14:paraId="6B6EFEB4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对于企业而言，参与校企联合共建能够提前储备优秀人才，满足企业发展的人才需求。企业可以与学校共同开展定向培养、订单式培养等项目，培养符合企业特定要求的专业人才。此外，借助学校的科研力量，企业能够解决技术难题，开展创新研发，提升自身的核心竞争力。</w:t>
            </w:r>
          </w:p>
          <w:p w14:paraId="548263B5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在校企联合共建的过程中，还需要建立有效的沟通机制和合作模式。双方应明确各自的权利和义务，制定详细的合作计划和目标，并建立长期稳定的合作关系。同时，政府也应给予政策支持和引导，为校企联合共建营造良好的环境。</w:t>
            </w:r>
          </w:p>
          <w:p w14:paraId="485C2650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总之，校企联合共建是一种互利共赢的合作模式，它为学校和企业搭建了一座桥梁，促进了教育与产业的深度融合，为经济社会的发展培养了更多创新型、实用型人才，共同开创美好的未来。</w:t>
            </w:r>
          </w:p>
        </w:tc>
        <w:tc>
          <w:tcPr>
            <w:tcW w:w="1490" w:type="dxa"/>
          </w:tcPr>
          <w:p w14:paraId="672B9296">
            <w:pPr>
              <w:numPr>
                <w:numId w:val="0"/>
              </w:numP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图标</w:t>
            </w:r>
          </w:p>
          <w:p w14:paraId="2BF8FF52">
            <w:pPr>
              <w:numPr>
                <w:numId w:val="0"/>
              </w:numPr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1151255" cy="1204595"/>
                  <wp:effectExtent l="0" t="0" r="6985" b="14605"/>
                  <wp:docPr id="1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255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</w:tcPr>
          <w:p w14:paraId="26F9C2B6">
            <w:pPr>
              <w:numPr>
                <w:numId w:val="0"/>
              </w:num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顶流教学专业赛事讲座</w:t>
            </w:r>
          </w:p>
        </w:tc>
        <w:tc>
          <w:tcPr>
            <w:tcW w:w="3385" w:type="dxa"/>
          </w:tcPr>
          <w:p w14:paraId="69C96E35">
            <w:pPr>
              <w:numPr>
                <w:numId w:val="0"/>
              </w:num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《顶流教学专业赛事讲座：点亮教育智慧的灯塔》</w:t>
            </w:r>
          </w:p>
          <w:p w14:paraId="634037B2">
            <w:pPr>
              <w:numPr>
                <w:numId w:val="0"/>
              </w:numPr>
              <w:ind w:firstLine="241" w:firstLineChars="10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在教育领域的广袤星空中，顶流教学专业赛事讲座如同一颗璀璨的明星，闪耀着智慧与创新的光芒，为广大教育工作者指引着前进的方向。</w:t>
            </w:r>
          </w:p>
          <w:p w14:paraId="43320364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顶流教学专业赛事讲座是教育理念的前沿阵地。在这里，汇聚了国内外教育界的顶尖专家和杰出教师，他们带来最新的教学理念和方法，分享在教育实践中的成功经验与深刻反思。这些前沿的观点如同清新的春风，吹拂着每一位听众的心灵，激发着他们对教育的新思考和新探索。</w:t>
            </w:r>
          </w:p>
          <w:p w14:paraId="39FA8142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讲座也是教学策略的展示舞台。通过对各类教学专业赛事的深入剖析，展示了优秀教师们如何巧妙设计课程、精准把握教学重难点，以及如何运用多样化的教学手段激发学生的学习兴趣和主动性。这些精彩的案例为广大教师提供了丰富的参考和借鉴，帮助他们在日常教学中不断优化教学策略，提高教学质量。</w:t>
            </w:r>
          </w:p>
          <w:p w14:paraId="4EBC95AC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对于参与讲座的教师们来说，这更是一个难得的交流与成长的平台。他们可以与同行们共同探讨教学中遇到的问题和挑战，分享彼此的心得和感悟。在思想的碰撞与融合中，不仅拓宽了视野，还结交了志同道合的朋友，形成了一个充满活力和凝聚力的教育共同体。</w:t>
            </w:r>
          </w:p>
          <w:p w14:paraId="65A738CD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顶流教学专业赛事讲座还具有引领教育改革的重要作用。它及时反映了教育领域的最新动态和发展趋势，为教育政策的制定和教育改革的推进提供了有力的依据和支持。同时，通过传播先进的教育理念和成功经验，能够促进教育资源的均衡分配，推动整个教育行业的共同进步。</w:t>
            </w:r>
          </w:p>
          <w:p w14:paraId="7B6A7CA8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此外，这样的讲座对于培养未来的教育人才也具有深远的意义。它激励着年轻的教育工作者树立远大的教育理想，不断提升自身的专业素养，为教育事业的发展注入源源不断的新鲜血液。</w:t>
            </w:r>
          </w:p>
          <w:p w14:paraId="10ED25CA"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总之，顶流教学专业赛事讲座以其卓越的内容、强大的影响力和积极的引领作用，成为了教育领域中不可或缺的重要组成部分，为点亮教育智慧的灯塔，照亮教育前行的道路。</w:t>
            </w:r>
          </w:p>
        </w:tc>
        <w:tc>
          <w:tcPr>
            <w:tcW w:w="3385" w:type="dxa"/>
          </w:tcPr>
          <w:p w14:paraId="4CD85DA2">
            <w:pPr>
              <w:numPr>
                <w:numId w:val="0"/>
              </w:numPr>
              <w:ind w:left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图标</w:t>
            </w:r>
          </w:p>
          <w:p w14:paraId="6AA004A0">
            <w:pPr>
              <w:numPr>
                <w:numId w:val="0"/>
              </w:numPr>
              <w:ind w:leftChars="0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021715" cy="1061085"/>
                  <wp:effectExtent l="0" t="0" r="14605" b="5715"/>
                  <wp:docPr id="1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138B22">
      <w:pPr>
        <w:numPr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A585C27">
      <w:pPr>
        <w:numPr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</w:t>
      </w:r>
    </w:p>
    <w:p w14:paraId="211BC0D8">
      <w:pPr>
        <w:numPr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              </w:t>
      </w:r>
    </w:p>
    <w:p w14:paraId="60B2E187">
      <w:pPr>
        <w:numPr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A9B16D3">
      <w:pPr>
        <w:numPr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               </w:t>
      </w:r>
    </w:p>
    <w:p w14:paraId="19C7B5E1">
      <w:pPr>
        <w:numPr>
          <w:numId w:val="0"/>
        </w:numPr>
        <w:ind w:leftChars="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6D6B06">
      <w:pPr>
        <w:numPr>
          <w:numId w:val="0"/>
        </w:numPr>
        <w:ind w:leftChars="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F030B62">
      <w:pPr>
        <w:numPr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C760D12">
      <w:pPr>
        <w:numPr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E181B8"/>
    <w:multiLevelType w:val="singleLevel"/>
    <w:tmpl w:val="B1E181B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A31E67C"/>
    <w:multiLevelType w:val="singleLevel"/>
    <w:tmpl w:val="CA31E67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1NjEwYTE1YzYwYzBlZmQ4MWVhMTMyMTk4MjYwODUifQ=="/>
  </w:docVars>
  <w:rsids>
    <w:rsidRoot w:val="0D4E6B3C"/>
    <w:rsid w:val="0087167F"/>
    <w:rsid w:val="00EB1C0E"/>
    <w:rsid w:val="056A1C9B"/>
    <w:rsid w:val="07AF3996"/>
    <w:rsid w:val="08585DDB"/>
    <w:rsid w:val="09265ED9"/>
    <w:rsid w:val="0D4E6B3C"/>
    <w:rsid w:val="0F307AB2"/>
    <w:rsid w:val="15A765F4"/>
    <w:rsid w:val="1606156C"/>
    <w:rsid w:val="17252504"/>
    <w:rsid w:val="1A240213"/>
    <w:rsid w:val="1A7B1DFD"/>
    <w:rsid w:val="1B505038"/>
    <w:rsid w:val="242F6132"/>
    <w:rsid w:val="29B82726"/>
    <w:rsid w:val="29C27101"/>
    <w:rsid w:val="29E4176D"/>
    <w:rsid w:val="2BA70CA4"/>
    <w:rsid w:val="3192385D"/>
    <w:rsid w:val="320C7AB3"/>
    <w:rsid w:val="331A7FAD"/>
    <w:rsid w:val="34C24459"/>
    <w:rsid w:val="3639699D"/>
    <w:rsid w:val="382C4A0B"/>
    <w:rsid w:val="38656AD3"/>
    <w:rsid w:val="3EEF6792"/>
    <w:rsid w:val="414601C0"/>
    <w:rsid w:val="417B255F"/>
    <w:rsid w:val="43291B47"/>
    <w:rsid w:val="456450B8"/>
    <w:rsid w:val="4CA3296A"/>
    <w:rsid w:val="4ED212E5"/>
    <w:rsid w:val="50B82E88"/>
    <w:rsid w:val="55E843F3"/>
    <w:rsid w:val="56867584"/>
    <w:rsid w:val="576B22D6"/>
    <w:rsid w:val="582B2191"/>
    <w:rsid w:val="5AF54CD9"/>
    <w:rsid w:val="5F3202A9"/>
    <w:rsid w:val="60B13450"/>
    <w:rsid w:val="66442670"/>
    <w:rsid w:val="68071BA7"/>
    <w:rsid w:val="686D5EAE"/>
    <w:rsid w:val="6F9C351D"/>
    <w:rsid w:val="73E334C8"/>
    <w:rsid w:val="74F11C15"/>
    <w:rsid w:val="75F96FD3"/>
    <w:rsid w:val="7A232871"/>
    <w:rsid w:val="7C7C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2024-07-04T12:36:00Z</dcterms:created>
  <dc:creator>颜帅</dc:creator>
  <cp:lastModifiedBy>颜帅</cp:lastModifiedBy>
  <dcterms:modified xsi:type="dcterms:W3CDTF">2024-07-04T13:45:46Z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53A965C6A31741A1AE4B6DE6ED62A5DB_11</vt:lpwstr>
  </property>
</Properties>
</file>